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9A5" w:rsidRPr="000A64D8" w:rsidRDefault="00BB49A5" w:rsidP="00BB49A5">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Pr="0084437D">
        <w:rPr>
          <w:rFonts w:ascii="Arial" w:hAnsi="Arial" w:cs="Arial"/>
          <w:b/>
          <w:sz w:val="28"/>
          <w:szCs w:val="24"/>
        </w:rPr>
        <w:t>171272</w:t>
      </w:r>
      <w:r w:rsidR="00246756">
        <w:rPr>
          <w:rFonts w:ascii="Arial" w:hAnsi="Arial" w:cs="Arial"/>
          <w:b/>
          <w:sz w:val="28"/>
          <w:szCs w:val="24"/>
        </w:rPr>
        <w:t>3</w:t>
      </w:r>
    </w:p>
    <w:p w:rsidR="00BB49A5" w:rsidRPr="00FD021C" w:rsidRDefault="00BB49A5" w:rsidP="00BB49A5">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A56D69" w:rsidRDefault="00BB49A5" w:rsidP="00BB49A5">
      <w:pPr>
        <w:pStyle w:val="Footer"/>
        <w:jc w:val="both"/>
        <w:rPr>
          <w:rFonts w:cs="Arial"/>
          <w:sz w:val="24"/>
          <w:szCs w:val="24"/>
        </w:rPr>
      </w:pPr>
      <w:r>
        <w:rPr>
          <w:rFonts w:cs="Arial"/>
          <w:sz w:val="24"/>
          <w:szCs w:val="24"/>
        </w:rPr>
        <w:t>Prague, Czech Republic</w:t>
      </w:r>
    </w:p>
    <w:p w:rsidR="00BB49A5" w:rsidRPr="000A64D8" w:rsidRDefault="00BB49A5" w:rsidP="00BB49A5">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B787A" w:rsidRPr="004B787A">
        <w:rPr>
          <w:rFonts w:ascii="Arial" w:hAnsi="Arial"/>
          <w:sz w:val="24"/>
        </w:rPr>
        <w:t>6.1.3.3.4.3</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46756" w:rsidRPr="00246756">
        <w:rPr>
          <w:rFonts w:ascii="Arial" w:hAnsi="Arial"/>
          <w:sz w:val="22"/>
        </w:rPr>
        <w:t>On the details of uplink Control Channel Design for CBG based Transmission Schemes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785ECB" w:rsidRPr="00785ECB" w:rsidRDefault="00785ECB" w:rsidP="00785ECB">
      <w:pPr>
        <w:pStyle w:val="ListParagraph"/>
        <w:numPr>
          <w:ilvl w:val="0"/>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For downlink data transmission with CBG based (re)transmission,</w:t>
      </w:r>
    </w:p>
    <w:p w:rsidR="00785ECB" w:rsidRPr="00785ECB" w:rsidRDefault="00785ECB" w:rsidP="00785ECB">
      <w:pPr>
        <w:pStyle w:val="ListParagraph"/>
        <w:numPr>
          <w:ilvl w:val="1"/>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The number of CBG HARQ ACK bits for a TB is at least equal to the number of CBGs indicated or implied for transmission</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whether or not the UE transmits HARQ ACK bits for CBGs not indicated or implied for transmission</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“indicated or implied” is realized by RRC, MAC, L1 signalling, or implicitly derived</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FFS HARQ ACK feedback on one channel for the case of multiple TBs</w:t>
      </w:r>
    </w:p>
    <w:p w:rsidR="00785ECB" w:rsidRPr="00785ECB" w:rsidRDefault="00785ECB" w:rsidP="00785ECB">
      <w:pPr>
        <w:pStyle w:val="ListParagraph"/>
        <w:numPr>
          <w:ilvl w:val="2"/>
          <w:numId w:val="16"/>
        </w:numPr>
        <w:overflowPunct w:val="0"/>
        <w:autoSpaceDE w:val="0"/>
        <w:autoSpaceDN w:val="0"/>
        <w:adjustRightInd w:val="0"/>
        <w:spacing w:after="180"/>
        <w:contextualSpacing/>
        <w:textAlignment w:val="baseline"/>
        <w:rPr>
          <w:rFonts w:ascii="Times New Roman" w:eastAsia="MS Mincho" w:hAnsi="Times New Roman"/>
          <w:sz w:val="24"/>
          <w:szCs w:val="24"/>
        </w:rPr>
      </w:pPr>
      <w:r w:rsidRPr="00785ECB">
        <w:rPr>
          <w:rFonts w:ascii="Times New Roman" w:eastAsia="MS Mincho" w:hAnsi="Times New Roman"/>
          <w:sz w:val="24"/>
          <w:szCs w:val="24"/>
        </w:rPr>
        <w:t xml:space="preserve">FFS for fallback </w:t>
      </w: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w:t>
      </w:r>
      <w:r w:rsidR="00785ECB">
        <w:rPr>
          <w:sz w:val="24"/>
          <w:szCs w:val="24"/>
        </w:rPr>
        <w:t>ion, we describe our views on uplink control channel design for CBG based transmission</w:t>
      </w:r>
      <w:r>
        <w:rPr>
          <w:sz w:val="24"/>
          <w:szCs w:val="24"/>
        </w:rPr>
        <w:t>.</w:t>
      </w:r>
    </w:p>
    <w:p w:rsidR="00C76A83" w:rsidRDefault="001415B9" w:rsidP="001D7377">
      <w:pPr>
        <w:pStyle w:val="Heading1"/>
      </w:pPr>
      <w:r>
        <w:t>Uplink Feedback Channel Structure for Indicating the HARQ-ACK for CBGs</w:t>
      </w:r>
    </w:p>
    <w:p w:rsidR="006B1069" w:rsidRPr="006B1069" w:rsidRDefault="006B1069" w:rsidP="00C76A83">
      <w:pPr>
        <w:jc w:val="both"/>
        <w:rPr>
          <w:color w:val="000000"/>
          <w:sz w:val="24"/>
          <w:shd w:val="clear" w:color="auto" w:fill="FFFFFF"/>
        </w:rPr>
      </w:pPr>
      <w:r w:rsidRPr="006B1069">
        <w:rPr>
          <w:color w:val="000000"/>
          <w:sz w:val="24"/>
          <w:shd w:val="clear" w:color="auto" w:fill="FFFFFF"/>
        </w:rPr>
        <w:t>In CBG based transmission, for indicating the HARQ-ACK it is agreed that the number of CBG HARQ ACK bits for a transport block is equal to that of the number of CBGs configured. As explained in [1], we recommend to use RRC configuration for indication of the number of CBGs, hence the number of HARQ ACK bits should be configured by RRC signaling. </w:t>
      </w:r>
    </w:p>
    <w:p w:rsidR="00836CA6" w:rsidRDefault="00CC03FD" w:rsidP="00C76A83">
      <w:pPr>
        <w:jc w:val="both"/>
        <w:rPr>
          <w:color w:val="000000" w:themeColor="text1"/>
          <w:sz w:val="24"/>
          <w:szCs w:val="24"/>
          <w:lang w:val="en-GB"/>
        </w:rPr>
      </w:pPr>
      <w:r>
        <w:rPr>
          <w:color w:val="000000" w:themeColor="text1"/>
          <w:sz w:val="24"/>
          <w:szCs w:val="24"/>
          <w:lang w:val="en-GB"/>
        </w:rPr>
        <w:t>With multi antenna  CBG based transmission, we prefer to have HARQ-ACK bits are defined for one codeword if the transmission rank is less than 4 and when the UE is scheduled with two codewords for 5-8 layer transmission, we prefer two sets of HARQ-ACK bits for their respective codewords</w:t>
      </w:r>
      <w:r w:rsidR="003F3552">
        <w:rPr>
          <w:color w:val="000000" w:themeColor="text1"/>
          <w:sz w:val="24"/>
          <w:szCs w:val="24"/>
          <w:lang w:val="en-GB"/>
        </w:rPr>
        <w:t xml:space="preserve"> as codeword bundling will nullify the gains achieved with</w:t>
      </w:r>
      <w:r w:rsidR="006B1069">
        <w:rPr>
          <w:color w:val="000000" w:themeColor="text1"/>
          <w:sz w:val="24"/>
          <w:szCs w:val="24"/>
          <w:lang w:val="en-GB"/>
        </w:rPr>
        <w:t xml:space="preserve"> </w:t>
      </w:r>
      <w:r w:rsidR="00EC0493">
        <w:rPr>
          <w:color w:val="000000" w:themeColor="text1"/>
          <w:sz w:val="24"/>
          <w:szCs w:val="24"/>
          <w:lang w:val="en-GB"/>
        </w:rPr>
        <w:t>CBG based transmissions</w:t>
      </w:r>
      <w:r w:rsidR="006B1069">
        <w:rPr>
          <w:color w:val="000000" w:themeColor="text1"/>
          <w:sz w:val="24"/>
          <w:szCs w:val="24"/>
          <w:lang w:val="en-GB"/>
        </w:rPr>
        <w:t>.</w:t>
      </w:r>
    </w:p>
    <w:p w:rsidR="007A795E" w:rsidRDefault="003F3552" w:rsidP="00C76A83">
      <w:pPr>
        <w:jc w:val="both"/>
        <w:rPr>
          <w:color w:val="000000" w:themeColor="text1"/>
          <w:sz w:val="24"/>
          <w:szCs w:val="24"/>
          <w:lang w:val="en-GB"/>
        </w:rPr>
      </w:pPr>
      <w:r>
        <w:rPr>
          <w:color w:val="000000" w:themeColor="text1"/>
          <w:sz w:val="24"/>
          <w:szCs w:val="24"/>
          <w:lang w:val="en-GB"/>
        </w:rPr>
        <w:t>Based on the discussion above</w:t>
      </w:r>
      <w:r w:rsidR="00CC03FD">
        <w:rPr>
          <w:color w:val="000000" w:themeColor="text1"/>
          <w:sz w:val="24"/>
          <w:szCs w:val="24"/>
          <w:lang w:val="en-GB"/>
        </w:rPr>
        <w:t xml:space="preserve">, </w:t>
      </w:r>
      <w:r w:rsidR="009A0587">
        <w:rPr>
          <w:color w:val="000000" w:themeColor="text1"/>
          <w:sz w:val="24"/>
          <w:szCs w:val="24"/>
          <w:lang w:val="en-GB"/>
        </w:rPr>
        <w:t>we envision</w:t>
      </w:r>
      <w:r w:rsidR="00CC03FD">
        <w:rPr>
          <w:color w:val="000000" w:themeColor="text1"/>
          <w:sz w:val="24"/>
          <w:szCs w:val="24"/>
          <w:lang w:val="en-GB"/>
        </w:rPr>
        <w:t xml:space="preserve"> </w:t>
      </w:r>
      <w:r w:rsidR="007A795E">
        <w:rPr>
          <w:color w:val="000000" w:themeColor="text1"/>
          <w:sz w:val="24"/>
          <w:szCs w:val="24"/>
          <w:lang w:val="en-GB"/>
        </w:rPr>
        <w:t>two design options for uplink feedback channel design:</w:t>
      </w:r>
    </w:p>
    <w:p w:rsidR="007A795E" w:rsidRDefault="007A795E" w:rsidP="00CA243F">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lastRenderedPageBreak/>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Fixed structure for HARQ-ACK bits for CBGs:</w:t>
      </w:r>
      <w:r>
        <w:rPr>
          <w:rFonts w:ascii="Times New Roman" w:eastAsia="MS Mincho" w:hAnsi="Times New Roman"/>
          <w:iCs/>
          <w:sz w:val="24"/>
          <w:szCs w:val="24"/>
        </w:rPr>
        <w:t xml:space="preserve"> In this scheme the number of HARQ-ACK bits equal to</w:t>
      </w:r>
      <w:r w:rsidR="00CA243F">
        <w:rPr>
          <w:rFonts w:ascii="Times New Roman" w:eastAsia="MS Mincho" w:hAnsi="Times New Roman"/>
          <w:iCs/>
          <w:sz w:val="24"/>
          <w:szCs w:val="24"/>
        </w:rPr>
        <w:t xml:space="preserve"> the number of CBGs configured. This scheme is simple and is a direct extension of   HARQ-ACK for LTE for CBG. </w:t>
      </w:r>
    </w:p>
    <w:p w:rsidR="00E435B7" w:rsidRDefault="007A795E" w:rsidP="007A795E">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Pr="007A795E">
        <w:rPr>
          <w:rFonts w:ascii="Times New Roman" w:eastAsia="MS Mincho" w:hAnsi="Times New Roman"/>
          <w:b/>
          <w:iCs/>
          <w:sz w:val="24"/>
          <w:szCs w:val="24"/>
        </w:rPr>
        <w:t>Adaptive structure of HARQ-ACK bits for CBGs</w:t>
      </w:r>
      <w:r>
        <w:rPr>
          <w:rFonts w:ascii="Times New Roman" w:eastAsia="MS Mincho" w:hAnsi="Times New Roman"/>
          <w:iCs/>
          <w:sz w:val="24"/>
          <w:szCs w:val="24"/>
        </w:rPr>
        <w:t xml:space="preserve">:  </w:t>
      </w:r>
      <w:r w:rsidR="00CA243F">
        <w:rPr>
          <w:rFonts w:ascii="Times New Roman" w:eastAsia="MS Mincho" w:hAnsi="Times New Roman"/>
          <w:iCs/>
          <w:sz w:val="24"/>
          <w:szCs w:val="24"/>
        </w:rPr>
        <w:t>In this scheme, instead of using</w:t>
      </w:r>
      <w:r w:rsidR="00E435B7">
        <w:rPr>
          <w:rFonts w:ascii="Times New Roman" w:eastAsia="MS Mincho" w:hAnsi="Times New Roman"/>
          <w:iCs/>
          <w:sz w:val="24"/>
          <w:szCs w:val="24"/>
        </w:rPr>
        <w:t xml:space="preserve"> fixed number of HARQ-ACK bits for CBGs, we use an additional TB level HARQ-ACK </w:t>
      </w:r>
      <w:r w:rsidR="00A70385">
        <w:rPr>
          <w:rFonts w:ascii="Times New Roman" w:eastAsia="MS Mincho" w:hAnsi="Times New Roman"/>
          <w:iCs/>
          <w:sz w:val="24"/>
          <w:szCs w:val="24"/>
        </w:rPr>
        <w:t>bit as</w:t>
      </w:r>
      <w:r w:rsidR="00CB6648">
        <w:rPr>
          <w:rFonts w:ascii="Times New Roman" w:eastAsia="MS Mincho" w:hAnsi="Times New Roman"/>
          <w:iCs/>
          <w:sz w:val="24"/>
          <w:szCs w:val="24"/>
        </w:rPr>
        <w:t xml:space="preserve"> shown in Figure 1, </w:t>
      </w:r>
      <w:r w:rsidR="00E435B7">
        <w:rPr>
          <w:rFonts w:ascii="Times New Roman" w:eastAsia="MS Mincho" w:hAnsi="Times New Roman"/>
          <w:iCs/>
          <w:sz w:val="24"/>
          <w:szCs w:val="24"/>
        </w:rPr>
        <w:t>so that if the network detects this bit and say it is ACK, then it can neglect the contents of the other HARQ-ACK bits for CBGs as the TB is already passed. On the other hand, if the network detects TB level HARQ-ACK and determines that the TB is a NAK, then it needs to detect the CBG based HARQ-ACK bits to identify which CBGs are in error. In this way, we can reduce the signaling overhead for HARQ-ACK bits when the number of CBGs configured are large.</w:t>
      </w:r>
    </w:p>
    <w:tbl>
      <w:tblPr>
        <w:tblStyle w:val="TableGrid"/>
        <w:tblW w:w="9961" w:type="dxa"/>
        <w:shd w:val="clear" w:color="auto" w:fill="ED7D31" w:themeFill="accent2"/>
        <w:tblLook w:val="04A0" w:firstRow="1" w:lastRow="0" w:firstColumn="1" w:lastColumn="0" w:noHBand="0" w:noVBand="1"/>
      </w:tblPr>
      <w:tblGrid>
        <w:gridCol w:w="996"/>
        <w:gridCol w:w="996"/>
        <w:gridCol w:w="996"/>
        <w:gridCol w:w="996"/>
        <w:gridCol w:w="996"/>
        <w:gridCol w:w="996"/>
        <w:gridCol w:w="996"/>
        <w:gridCol w:w="996"/>
        <w:gridCol w:w="996"/>
        <w:gridCol w:w="997"/>
      </w:tblGrid>
      <w:tr w:rsidR="00CB6648" w:rsidTr="00CB6648">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TB 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CBG1</w:t>
            </w:r>
          </w:p>
          <w:p w:rsidR="00CB6648" w:rsidRDefault="00CB6648" w:rsidP="00CB6648">
            <w:pPr>
              <w:rPr>
                <w:color w:val="000000" w:themeColor="text1"/>
                <w:sz w:val="24"/>
                <w:szCs w:val="24"/>
              </w:rPr>
            </w:pPr>
            <w:r>
              <w:rPr>
                <w:color w:val="000000" w:themeColor="text1"/>
                <w:sz w:val="24"/>
                <w:szCs w:val="24"/>
              </w:rPr>
              <w:t>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CBG2</w:t>
            </w:r>
          </w:p>
          <w:p w:rsidR="00CB6648" w:rsidRDefault="00CB6648" w:rsidP="00CB6648">
            <w:pPr>
              <w:rPr>
                <w:color w:val="000000" w:themeColor="text1"/>
                <w:sz w:val="24"/>
                <w:szCs w:val="24"/>
              </w:rPr>
            </w:pPr>
            <w:r>
              <w:rPr>
                <w:color w:val="000000" w:themeColor="text1"/>
                <w:sz w:val="24"/>
                <w:szCs w:val="24"/>
              </w:rPr>
              <w:t>HARQ-ACK</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6"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w:t>
            </w:r>
          </w:p>
        </w:tc>
        <w:tc>
          <w:tcPr>
            <w:tcW w:w="997" w:type="dxa"/>
            <w:shd w:val="clear" w:color="auto" w:fill="ED7D31" w:themeFill="accent2"/>
          </w:tcPr>
          <w:p w:rsidR="00CB6648" w:rsidRDefault="00CB6648" w:rsidP="00CB6648">
            <w:pPr>
              <w:rPr>
                <w:color w:val="000000" w:themeColor="text1"/>
                <w:sz w:val="24"/>
                <w:szCs w:val="24"/>
              </w:rPr>
            </w:pPr>
            <w:r>
              <w:rPr>
                <w:color w:val="000000" w:themeColor="text1"/>
                <w:sz w:val="24"/>
                <w:szCs w:val="24"/>
              </w:rPr>
              <w:t>CBGN</w:t>
            </w:r>
          </w:p>
          <w:p w:rsidR="00CB6648" w:rsidRDefault="00CB6648" w:rsidP="00A70385">
            <w:pPr>
              <w:keepNext/>
              <w:rPr>
                <w:color w:val="000000" w:themeColor="text1"/>
                <w:sz w:val="24"/>
                <w:szCs w:val="24"/>
              </w:rPr>
            </w:pPr>
            <w:r>
              <w:rPr>
                <w:color w:val="000000" w:themeColor="text1"/>
                <w:sz w:val="24"/>
                <w:szCs w:val="24"/>
              </w:rPr>
              <w:t>HARQ-ACK</w:t>
            </w:r>
          </w:p>
        </w:tc>
      </w:tr>
    </w:tbl>
    <w:p w:rsidR="007A795E" w:rsidRDefault="00A70385" w:rsidP="00A70385">
      <w:pPr>
        <w:pStyle w:val="Caption"/>
      </w:pPr>
      <w:r>
        <w:t xml:space="preserve">Figure </w:t>
      </w:r>
      <w:r w:rsidR="005A7D35">
        <w:fldChar w:fldCharType="begin"/>
      </w:r>
      <w:r w:rsidR="005A7D35">
        <w:instrText xml:space="preserve"> SEQ Figure \* ARABIC </w:instrText>
      </w:r>
      <w:r w:rsidR="005A7D35">
        <w:fldChar w:fldCharType="separate"/>
      </w:r>
      <w:r>
        <w:rPr>
          <w:noProof/>
        </w:rPr>
        <w:t>1</w:t>
      </w:r>
      <w:r w:rsidR="005A7D35">
        <w:rPr>
          <w:noProof/>
        </w:rPr>
        <w:fldChar w:fldCharType="end"/>
      </w:r>
      <w:r>
        <w:t>Adaptive HARQ-ACK structure</w:t>
      </w:r>
    </w:p>
    <w:p w:rsidR="00A70385" w:rsidRPr="00A70385" w:rsidRDefault="00A70385" w:rsidP="00A70385"/>
    <w:p w:rsidR="00CB6648" w:rsidRDefault="00CB6648" w:rsidP="00C76A83">
      <w:pPr>
        <w:jc w:val="both"/>
        <w:rPr>
          <w:color w:val="000000" w:themeColor="text1"/>
          <w:sz w:val="24"/>
          <w:szCs w:val="24"/>
        </w:rPr>
      </w:pPr>
      <w:r>
        <w:rPr>
          <w:color w:val="000000" w:themeColor="text1"/>
          <w:sz w:val="24"/>
          <w:szCs w:val="24"/>
        </w:rPr>
        <w:t xml:space="preserve">Note that with option 2 supports both TB level and CBG level HARQ-ACK and at the same time reduces the signaling overhead. </w:t>
      </w:r>
    </w:p>
    <w:p w:rsidR="00CB6648" w:rsidRDefault="00CB6648" w:rsidP="00CB6648">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rsidR="00696E8D" w:rsidRDefault="00696E8D" w:rsidP="00696E8D">
      <w:pPr>
        <w:pStyle w:val="Heading1"/>
      </w:pPr>
      <w:r>
        <w:t xml:space="preserve">Reducing the Overhead for Uplink Feedback Channel </w:t>
      </w:r>
    </w:p>
    <w:p w:rsidR="00696E8D" w:rsidRPr="006B1069" w:rsidRDefault="006B1069" w:rsidP="00696E8D">
      <w:pPr>
        <w:keepNext/>
        <w:jc w:val="both"/>
        <w:rPr>
          <w:noProof/>
          <w:color w:val="000000"/>
          <w:sz w:val="36"/>
          <w:szCs w:val="28"/>
          <w:lang w:eastAsia="sv-SE"/>
        </w:rPr>
      </w:pPr>
      <w:r w:rsidRPr="006B1069">
        <w:rPr>
          <w:color w:val="000000"/>
          <w:sz w:val="24"/>
          <w:shd w:val="clear" w:color="auto" w:fill="FFFFFF"/>
          <w:lang w:val="en-GB"/>
        </w:rPr>
        <w:t>Note that, with CBG based transmission the signaling overhead is very high if the number of CBGs configured is very high. To understand the HARQ statistics for CBG based transmission we show the link simulations with many code blocks. </w:t>
      </w:r>
      <w:r w:rsidRPr="006B1069">
        <w:rPr>
          <w:color w:val="000000"/>
          <w:sz w:val="24"/>
          <w:shd w:val="clear" w:color="auto" w:fill="FFFFFF"/>
        </w:rPr>
        <w:t xml:space="preserve">Figures 1, 2, and 3 shows the probability of failure of one codeblock segment while the rest of the codeblock segments are passed at 4.5 GHz frequency at </w:t>
      </w:r>
      <w:r w:rsidRPr="006B1069">
        <w:rPr>
          <w:color w:val="000000"/>
          <w:sz w:val="24"/>
          <w:shd w:val="clear" w:color="auto" w:fill="FFFFFF"/>
        </w:rPr>
        <w:lastRenderedPageBreak/>
        <w:t>high, medium and low SNRs respectively for 4X4 MIMO system.</w:t>
      </w:r>
      <w:r w:rsidR="00696E8D" w:rsidRPr="006B1069">
        <w:rPr>
          <w:noProof/>
          <w:color w:val="000000"/>
          <w:sz w:val="36"/>
          <w:szCs w:val="28"/>
        </w:rPr>
        <w:drawing>
          <wp:inline distT="0" distB="0" distL="0" distR="0" wp14:anchorId="10AC5D4A" wp14:editId="3F838F3D">
            <wp:extent cx="5120640" cy="3840480"/>
            <wp:effectExtent l="0" t="0" r="381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20640" cy="3840480"/>
                    </a:xfrm>
                    <a:prstGeom prst="rect">
                      <a:avLst/>
                    </a:prstGeom>
                  </pic:spPr>
                </pic:pic>
              </a:graphicData>
            </a:graphic>
          </wp:inline>
        </w:drawing>
      </w:r>
    </w:p>
    <w:p w:rsidR="00696E8D" w:rsidRPr="006B1069" w:rsidRDefault="00696E8D" w:rsidP="00696E8D">
      <w:pPr>
        <w:keepNext/>
        <w:jc w:val="both"/>
        <w:rPr>
          <w:rFonts w:cs="Arial"/>
          <w:noProof/>
          <w:color w:val="000000"/>
          <w:sz w:val="28"/>
          <w:szCs w:val="28"/>
          <w:lang w:eastAsia="sv-SE"/>
        </w:rPr>
      </w:pPr>
    </w:p>
    <w:p w:rsidR="00696E8D" w:rsidRPr="00F46E84" w:rsidRDefault="00696E8D" w:rsidP="00696E8D">
      <w:pPr>
        <w:pStyle w:val="Caption"/>
        <w:jc w:val="both"/>
        <w:rPr>
          <w:rFonts w:cs="Arial"/>
          <w:b w:val="0"/>
          <w:sz w:val="28"/>
          <w:szCs w:val="28"/>
        </w:rPr>
      </w:pPr>
      <w:r>
        <w:t xml:space="preserve">Figure 1 Probability of failure of only segments with </w:t>
      </w:r>
      <w:r w:rsidRPr="00BD1E12">
        <w:t xml:space="preserve">SNR = </w:t>
      </w:r>
      <w:r>
        <w:t>2</w:t>
      </w:r>
      <w:r w:rsidRPr="00BD1E12">
        <w:t>0 dB</w:t>
      </w:r>
      <w:r>
        <w:t xml:space="preserve"> as a function of speed </w:t>
      </w:r>
    </w:p>
    <w:p w:rsidR="00696E8D" w:rsidRDefault="00696E8D" w:rsidP="00696E8D">
      <w:pPr>
        <w:jc w:val="both"/>
        <w:rPr>
          <w:rFonts w:cs="Arial"/>
          <w:sz w:val="28"/>
          <w:szCs w:val="28"/>
        </w:rPr>
      </w:pPr>
    </w:p>
    <w:p w:rsidR="00696E8D" w:rsidRDefault="00696E8D" w:rsidP="00696E8D">
      <w:pPr>
        <w:keepNext/>
        <w:jc w:val="both"/>
      </w:pPr>
      <w:r w:rsidRPr="004943BD">
        <w:rPr>
          <w:noProof/>
        </w:rPr>
        <w:lastRenderedPageBreak/>
        <w:drawing>
          <wp:inline distT="0" distB="0" distL="0" distR="0" wp14:anchorId="351AE935" wp14:editId="64716C1F">
            <wp:extent cx="5120640" cy="3840480"/>
            <wp:effectExtent l="0" t="0" r="3810" b="762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20640" cy="3840480"/>
                    </a:xfrm>
                    <a:prstGeom prst="rect">
                      <a:avLst/>
                    </a:prstGeom>
                  </pic:spPr>
                </pic:pic>
              </a:graphicData>
            </a:graphic>
          </wp:inline>
        </w:drawing>
      </w:r>
    </w:p>
    <w:p w:rsidR="00696E8D" w:rsidRPr="00F46E84" w:rsidRDefault="00696E8D" w:rsidP="00696E8D">
      <w:pPr>
        <w:pStyle w:val="Caption"/>
        <w:jc w:val="both"/>
        <w:rPr>
          <w:rFonts w:cs="Arial"/>
          <w:b w:val="0"/>
          <w:sz w:val="28"/>
          <w:szCs w:val="28"/>
        </w:rPr>
      </w:pPr>
      <w:r>
        <w:t xml:space="preserve">Figure 2 Probability of failure of only segments with </w:t>
      </w:r>
      <w:r w:rsidRPr="00BD1E12">
        <w:t xml:space="preserve">SNR = </w:t>
      </w:r>
      <w:r>
        <w:t>1</w:t>
      </w:r>
      <w:r w:rsidRPr="00BD1E12">
        <w:t>0 dB</w:t>
      </w:r>
      <w:r>
        <w:t xml:space="preserve"> as a function of speed</w:t>
      </w:r>
    </w:p>
    <w:p w:rsidR="00696E8D" w:rsidRDefault="00696E8D" w:rsidP="00696E8D">
      <w:pPr>
        <w:pStyle w:val="Caption"/>
        <w:jc w:val="both"/>
      </w:pPr>
      <w:r w:rsidRPr="004943BD">
        <w:rPr>
          <w:noProof/>
        </w:rPr>
        <w:drawing>
          <wp:inline distT="0" distB="0" distL="0" distR="0" wp14:anchorId="6E4DC13E" wp14:editId="37FB5B83">
            <wp:extent cx="5120640" cy="3840480"/>
            <wp:effectExtent l="0" t="0" r="3810" b="762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0640" cy="3840480"/>
                    </a:xfrm>
                    <a:prstGeom prst="rect">
                      <a:avLst/>
                    </a:prstGeom>
                  </pic:spPr>
                </pic:pic>
              </a:graphicData>
            </a:graphic>
          </wp:inline>
        </w:drawing>
      </w:r>
    </w:p>
    <w:p w:rsidR="00696E8D" w:rsidRPr="00F46E84" w:rsidRDefault="00696E8D" w:rsidP="00696E8D">
      <w:pPr>
        <w:pStyle w:val="Caption"/>
        <w:jc w:val="both"/>
        <w:rPr>
          <w:rFonts w:cs="Arial"/>
          <w:b w:val="0"/>
          <w:sz w:val="28"/>
          <w:szCs w:val="28"/>
        </w:rPr>
      </w:pPr>
      <w:r>
        <w:t>Figure 3</w:t>
      </w:r>
      <w:r w:rsidRPr="00F46E84">
        <w:t xml:space="preserve"> </w:t>
      </w:r>
      <w:r>
        <w:t xml:space="preserve">Probability of failure of only segments with </w:t>
      </w:r>
      <w:r w:rsidRPr="00BD1E12">
        <w:t>SNR = 0 dB</w:t>
      </w:r>
      <w:r>
        <w:t xml:space="preserve"> as a function of speed</w:t>
      </w:r>
    </w:p>
    <w:p w:rsidR="00696E8D" w:rsidRDefault="00696E8D" w:rsidP="00696E8D">
      <w:pPr>
        <w:jc w:val="both"/>
        <w:rPr>
          <w:color w:val="000000" w:themeColor="text1"/>
          <w:sz w:val="24"/>
          <w:szCs w:val="24"/>
        </w:rPr>
      </w:pPr>
    </w:p>
    <w:p w:rsidR="006A34AF" w:rsidRDefault="00696E8D" w:rsidP="00696E8D">
      <w:pPr>
        <w:jc w:val="both"/>
        <w:rPr>
          <w:rFonts w:cs="Arial"/>
          <w:sz w:val="24"/>
          <w:szCs w:val="28"/>
        </w:rPr>
      </w:pPr>
      <w:r w:rsidRPr="00E821CD">
        <w:rPr>
          <w:rFonts w:cs="Arial"/>
          <w:sz w:val="24"/>
          <w:szCs w:val="28"/>
        </w:rPr>
        <w:t>The probability of failure of only one segments increases with the speed at all ge</w:t>
      </w:r>
      <w:r>
        <w:rPr>
          <w:rFonts w:cs="Arial"/>
          <w:sz w:val="24"/>
          <w:szCs w:val="28"/>
        </w:rPr>
        <w:t xml:space="preserve">ometries. The same case applies for 2 code block segments etc. </w:t>
      </w:r>
      <w:r w:rsidR="006A34AF">
        <w:rPr>
          <w:rFonts w:cs="Arial"/>
          <w:sz w:val="24"/>
          <w:szCs w:val="28"/>
        </w:rPr>
        <w:t xml:space="preserve">Note that the CBG based </w:t>
      </w:r>
      <w:r w:rsidR="00D51ABF">
        <w:rPr>
          <w:rFonts w:cs="Arial"/>
          <w:sz w:val="24"/>
          <w:szCs w:val="28"/>
        </w:rPr>
        <w:t>transmission</w:t>
      </w:r>
      <w:r w:rsidR="006A34AF">
        <w:rPr>
          <w:rFonts w:cs="Arial"/>
          <w:sz w:val="24"/>
          <w:szCs w:val="28"/>
        </w:rPr>
        <w:t xml:space="preserve"> is effective when the </w:t>
      </w:r>
      <w:r w:rsidR="00D51ABF">
        <w:rPr>
          <w:rFonts w:cs="Arial"/>
          <w:sz w:val="24"/>
          <w:szCs w:val="28"/>
        </w:rPr>
        <w:t>number</w:t>
      </w:r>
      <w:r w:rsidR="006A34AF">
        <w:rPr>
          <w:rFonts w:cs="Arial"/>
          <w:sz w:val="24"/>
          <w:szCs w:val="28"/>
        </w:rPr>
        <w:t xml:space="preserve"> of code blocks/CBGs which are in error is less. If more CBs/CBGS are in error, TB level HARQ-ACK procedure used for LTE system is beneficial in terms of signaling overhead. </w:t>
      </w:r>
      <w:r>
        <w:rPr>
          <w:rFonts w:cs="Arial"/>
          <w:sz w:val="24"/>
          <w:szCs w:val="28"/>
        </w:rPr>
        <w:t xml:space="preserve">Hence we </w:t>
      </w:r>
      <w:r w:rsidR="006A34AF">
        <w:rPr>
          <w:rFonts w:cs="Arial"/>
          <w:sz w:val="24"/>
          <w:szCs w:val="28"/>
        </w:rPr>
        <w:t xml:space="preserve">recommend that RAN1 should study options for reducing the HARQ-ACK overhead with CBG based transmission.  </w:t>
      </w:r>
    </w:p>
    <w:p w:rsidR="006A34AF" w:rsidRDefault="006A34AF" w:rsidP="006A34AF">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rsidR="006A34AF" w:rsidRDefault="006A34AF" w:rsidP="00696E8D">
      <w:pPr>
        <w:jc w:val="both"/>
        <w:rPr>
          <w:rFonts w:cs="Arial"/>
          <w:sz w:val="24"/>
          <w:szCs w:val="28"/>
        </w:rPr>
      </w:pPr>
    </w:p>
    <w:p w:rsidR="006A34AF" w:rsidRDefault="006A34AF" w:rsidP="00696E8D">
      <w:pPr>
        <w:jc w:val="both"/>
        <w:rPr>
          <w:rFonts w:cs="Arial"/>
          <w:sz w:val="24"/>
          <w:szCs w:val="28"/>
        </w:rPr>
      </w:pPr>
      <w:r>
        <w:rPr>
          <w:rFonts w:cs="Arial"/>
          <w:sz w:val="24"/>
          <w:szCs w:val="28"/>
        </w:rPr>
        <w:t xml:space="preserve">For example, if the network configures the UE to report HARQ-ACK on CBGs when only one CBG is in error and say the value of N </w:t>
      </w:r>
      <w:r w:rsidR="006B1069">
        <w:rPr>
          <w:rFonts w:cs="Arial"/>
          <w:sz w:val="24"/>
          <w:szCs w:val="28"/>
        </w:rPr>
        <w:t xml:space="preserve">= 8. Then in legacy systems, </w:t>
      </w:r>
      <w:r>
        <w:rPr>
          <w:rFonts w:cs="Arial"/>
          <w:sz w:val="24"/>
          <w:szCs w:val="28"/>
        </w:rPr>
        <w:t>we need to use 8 bits to indicate which CBGs are in error. However, since network configures the UE to report HARQ-ACK only when CBG is in error, it can use 3 bits to indicate which CBG is in error as shown in Table 1. Note that in this case TB level HARQ-ACK can be used to determine if all the CBGs are in error or error free.</w:t>
      </w:r>
    </w:p>
    <w:p w:rsidR="006A34AF" w:rsidRDefault="006A34AF" w:rsidP="006A34AF">
      <w:pPr>
        <w:tabs>
          <w:tab w:val="left" w:pos="360"/>
          <w:tab w:val="left" w:pos="540"/>
        </w:tabs>
        <w:jc w:val="both"/>
        <w:rPr>
          <w:sz w:val="28"/>
          <w:szCs w:val="28"/>
        </w:rPr>
      </w:pPr>
    </w:p>
    <w:p w:rsidR="006A34AF" w:rsidRDefault="006A34AF" w:rsidP="006A34AF">
      <w:pPr>
        <w:pStyle w:val="Caption"/>
        <w:keepNext/>
      </w:pPr>
      <w:r>
        <w:t xml:space="preserve">Table </w:t>
      </w:r>
      <w:r w:rsidR="005A7D35">
        <w:fldChar w:fldCharType="begin"/>
      </w:r>
      <w:r w:rsidR="005A7D35">
        <w:instrText xml:space="preserve"> SEQ Table \* ARABIC </w:instrText>
      </w:r>
      <w:r w:rsidR="005A7D35">
        <w:fldChar w:fldCharType="separate"/>
      </w:r>
      <w:r>
        <w:rPr>
          <w:noProof/>
        </w:rPr>
        <w:t>1</w:t>
      </w:r>
      <w:r w:rsidR="005A7D35">
        <w:rPr>
          <w:noProof/>
        </w:rPr>
        <w:fldChar w:fldCharType="end"/>
      </w:r>
      <w:r>
        <w:t xml:space="preserve"> Proposed HARQ-ACK mapping for CBGs</w:t>
      </w:r>
    </w:p>
    <w:tbl>
      <w:tblPr>
        <w:tblStyle w:val="TableGrid"/>
        <w:tblW w:w="0" w:type="auto"/>
        <w:tblLook w:val="04A0" w:firstRow="1" w:lastRow="0" w:firstColumn="1" w:lastColumn="0" w:noHBand="0" w:noVBand="1"/>
      </w:tblPr>
      <w:tblGrid>
        <w:gridCol w:w="4606"/>
        <w:gridCol w:w="4606"/>
      </w:tblGrid>
      <w:tr w:rsidR="006A34AF" w:rsidTr="001A2448">
        <w:tc>
          <w:tcPr>
            <w:tcW w:w="4606" w:type="dxa"/>
          </w:tcPr>
          <w:p w:rsidR="006A34AF" w:rsidRPr="0008780C" w:rsidRDefault="006A34AF" w:rsidP="001A2448">
            <w:pPr>
              <w:tabs>
                <w:tab w:val="left" w:pos="360"/>
                <w:tab w:val="left" w:pos="540"/>
              </w:tabs>
              <w:rPr>
                <w:b/>
                <w:sz w:val="28"/>
                <w:szCs w:val="28"/>
              </w:rPr>
            </w:pPr>
            <w:r>
              <w:rPr>
                <w:b/>
                <w:sz w:val="28"/>
                <w:szCs w:val="28"/>
              </w:rPr>
              <w:t>HARQ-ACK  bit combination</w:t>
            </w:r>
          </w:p>
        </w:tc>
        <w:tc>
          <w:tcPr>
            <w:tcW w:w="4606" w:type="dxa"/>
          </w:tcPr>
          <w:p w:rsidR="006A34AF" w:rsidRPr="0008780C" w:rsidRDefault="006A34AF" w:rsidP="001A2448">
            <w:pPr>
              <w:tabs>
                <w:tab w:val="left" w:pos="360"/>
                <w:tab w:val="left" w:pos="540"/>
              </w:tabs>
              <w:rPr>
                <w:b/>
                <w:sz w:val="28"/>
                <w:szCs w:val="28"/>
              </w:rPr>
            </w:pPr>
            <w:r>
              <w:rPr>
                <w:b/>
                <w:sz w:val="28"/>
                <w:szCs w:val="28"/>
              </w:rPr>
              <w:t xml:space="preserve">  CBG number which is a NAK</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001</w:t>
            </w:r>
          </w:p>
        </w:tc>
        <w:tc>
          <w:tcPr>
            <w:tcW w:w="4606" w:type="dxa"/>
          </w:tcPr>
          <w:p w:rsidR="006A34AF" w:rsidRDefault="006A34AF" w:rsidP="001A2448">
            <w:pPr>
              <w:tabs>
                <w:tab w:val="left" w:pos="360"/>
                <w:tab w:val="left" w:pos="540"/>
              </w:tabs>
              <w:rPr>
                <w:sz w:val="28"/>
                <w:szCs w:val="28"/>
              </w:rPr>
            </w:pPr>
            <w:r>
              <w:rPr>
                <w:sz w:val="28"/>
                <w:szCs w:val="28"/>
              </w:rPr>
              <w:t>1</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010</w:t>
            </w:r>
          </w:p>
        </w:tc>
        <w:tc>
          <w:tcPr>
            <w:tcW w:w="4606" w:type="dxa"/>
          </w:tcPr>
          <w:p w:rsidR="006A34AF" w:rsidRDefault="006A34AF" w:rsidP="001A2448">
            <w:pPr>
              <w:tabs>
                <w:tab w:val="left" w:pos="360"/>
                <w:tab w:val="left" w:pos="540"/>
              </w:tabs>
              <w:rPr>
                <w:sz w:val="28"/>
                <w:szCs w:val="28"/>
              </w:rPr>
            </w:pPr>
            <w:r>
              <w:rPr>
                <w:sz w:val="28"/>
                <w:szCs w:val="28"/>
              </w:rPr>
              <w:t>2</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011</w:t>
            </w:r>
          </w:p>
        </w:tc>
        <w:tc>
          <w:tcPr>
            <w:tcW w:w="4606" w:type="dxa"/>
          </w:tcPr>
          <w:p w:rsidR="006A34AF" w:rsidRDefault="006A34AF" w:rsidP="001A2448">
            <w:pPr>
              <w:tabs>
                <w:tab w:val="left" w:pos="360"/>
                <w:tab w:val="left" w:pos="540"/>
              </w:tabs>
              <w:rPr>
                <w:sz w:val="28"/>
                <w:szCs w:val="28"/>
              </w:rPr>
            </w:pPr>
            <w:r>
              <w:rPr>
                <w:sz w:val="28"/>
                <w:szCs w:val="28"/>
              </w:rPr>
              <w:t>3</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100</w:t>
            </w:r>
          </w:p>
        </w:tc>
        <w:tc>
          <w:tcPr>
            <w:tcW w:w="4606" w:type="dxa"/>
          </w:tcPr>
          <w:p w:rsidR="006A34AF" w:rsidRDefault="006A34AF" w:rsidP="001A2448">
            <w:pPr>
              <w:tabs>
                <w:tab w:val="left" w:pos="360"/>
                <w:tab w:val="left" w:pos="540"/>
              </w:tabs>
              <w:rPr>
                <w:sz w:val="28"/>
                <w:szCs w:val="28"/>
              </w:rPr>
            </w:pPr>
            <w:r>
              <w:rPr>
                <w:sz w:val="28"/>
                <w:szCs w:val="28"/>
              </w:rPr>
              <w:t>4</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101</w:t>
            </w:r>
          </w:p>
        </w:tc>
        <w:tc>
          <w:tcPr>
            <w:tcW w:w="4606" w:type="dxa"/>
          </w:tcPr>
          <w:p w:rsidR="006A34AF" w:rsidRDefault="006A34AF" w:rsidP="001A2448">
            <w:pPr>
              <w:tabs>
                <w:tab w:val="left" w:pos="360"/>
                <w:tab w:val="left" w:pos="540"/>
              </w:tabs>
              <w:rPr>
                <w:sz w:val="28"/>
                <w:szCs w:val="28"/>
              </w:rPr>
            </w:pPr>
            <w:r>
              <w:rPr>
                <w:sz w:val="28"/>
                <w:szCs w:val="28"/>
              </w:rPr>
              <w:t>5</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110</w:t>
            </w:r>
          </w:p>
        </w:tc>
        <w:tc>
          <w:tcPr>
            <w:tcW w:w="4606" w:type="dxa"/>
          </w:tcPr>
          <w:p w:rsidR="006A34AF" w:rsidRDefault="006A34AF" w:rsidP="001A2448">
            <w:pPr>
              <w:tabs>
                <w:tab w:val="left" w:pos="360"/>
                <w:tab w:val="left" w:pos="540"/>
              </w:tabs>
              <w:rPr>
                <w:sz w:val="28"/>
                <w:szCs w:val="28"/>
              </w:rPr>
            </w:pPr>
            <w:r>
              <w:rPr>
                <w:sz w:val="28"/>
                <w:szCs w:val="28"/>
              </w:rPr>
              <w:t>6</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111</w:t>
            </w:r>
          </w:p>
        </w:tc>
        <w:tc>
          <w:tcPr>
            <w:tcW w:w="4606" w:type="dxa"/>
          </w:tcPr>
          <w:p w:rsidR="006A34AF" w:rsidRDefault="006A34AF" w:rsidP="001A2448">
            <w:pPr>
              <w:tabs>
                <w:tab w:val="left" w:pos="360"/>
                <w:tab w:val="left" w:pos="540"/>
              </w:tabs>
              <w:rPr>
                <w:sz w:val="28"/>
                <w:szCs w:val="28"/>
              </w:rPr>
            </w:pPr>
            <w:r>
              <w:rPr>
                <w:sz w:val="28"/>
                <w:szCs w:val="28"/>
              </w:rPr>
              <w:t>7</w:t>
            </w:r>
          </w:p>
        </w:tc>
      </w:tr>
      <w:tr w:rsidR="006A34AF" w:rsidTr="001A2448">
        <w:tc>
          <w:tcPr>
            <w:tcW w:w="4606" w:type="dxa"/>
          </w:tcPr>
          <w:p w:rsidR="006A34AF" w:rsidRDefault="006A34AF" w:rsidP="001A2448">
            <w:pPr>
              <w:tabs>
                <w:tab w:val="left" w:pos="360"/>
                <w:tab w:val="left" w:pos="540"/>
              </w:tabs>
              <w:rPr>
                <w:sz w:val="28"/>
                <w:szCs w:val="28"/>
              </w:rPr>
            </w:pPr>
            <w:r>
              <w:rPr>
                <w:sz w:val="28"/>
                <w:szCs w:val="28"/>
              </w:rPr>
              <w:t>000</w:t>
            </w:r>
          </w:p>
        </w:tc>
        <w:tc>
          <w:tcPr>
            <w:tcW w:w="4606" w:type="dxa"/>
          </w:tcPr>
          <w:p w:rsidR="006A34AF" w:rsidRDefault="006A34AF" w:rsidP="001A2448">
            <w:pPr>
              <w:tabs>
                <w:tab w:val="left" w:pos="360"/>
                <w:tab w:val="left" w:pos="540"/>
              </w:tabs>
              <w:rPr>
                <w:sz w:val="28"/>
                <w:szCs w:val="28"/>
              </w:rPr>
            </w:pPr>
            <w:r>
              <w:rPr>
                <w:sz w:val="28"/>
                <w:szCs w:val="28"/>
              </w:rPr>
              <w:t>8</w:t>
            </w:r>
          </w:p>
        </w:tc>
      </w:tr>
    </w:tbl>
    <w:p w:rsidR="006A34AF" w:rsidRDefault="006A34AF" w:rsidP="006A34AF">
      <w:pPr>
        <w:tabs>
          <w:tab w:val="left" w:pos="360"/>
          <w:tab w:val="left" w:pos="540"/>
        </w:tabs>
        <w:jc w:val="both"/>
        <w:rPr>
          <w:sz w:val="28"/>
          <w:szCs w:val="28"/>
        </w:rPr>
      </w:pPr>
    </w:p>
    <w:p w:rsidR="006A34AF" w:rsidRDefault="006A34AF" w:rsidP="00696E8D">
      <w:pPr>
        <w:jc w:val="both"/>
        <w:rPr>
          <w:rFonts w:cs="Arial"/>
          <w:sz w:val="24"/>
          <w:szCs w:val="28"/>
        </w:rPr>
      </w:pPr>
    </w:p>
    <w:p w:rsidR="001D7377" w:rsidRDefault="001D7377" w:rsidP="001D7377">
      <w:pPr>
        <w:pStyle w:val="Heading1"/>
      </w:pPr>
      <w:bookmarkStart w:id="1" w:name="_Toc424303267"/>
      <w:bookmarkStart w:id="2" w:name="_Toc425248865"/>
      <w:bookmarkStart w:id="3" w:name="_Toc425344835"/>
      <w:bookmarkStart w:id="4" w:name="_Toc425350726"/>
      <w:bookmarkStart w:id="5" w:name="_Toc425501584"/>
      <w:bookmarkStart w:id="6" w:name="_Toc425504168"/>
      <w:bookmarkStart w:id="7" w:name="_Ref378529477"/>
      <w:r>
        <w:lastRenderedPageBreak/>
        <w:t>Conclusions</w:t>
      </w:r>
    </w:p>
    <w:bookmarkEnd w:id="1"/>
    <w:bookmarkEnd w:id="2"/>
    <w:bookmarkEnd w:id="3"/>
    <w:bookmarkEnd w:id="4"/>
    <w:bookmarkEnd w:id="5"/>
    <w:bookmarkEnd w:id="6"/>
    <w:p w:rsidR="00863643" w:rsidRDefault="00863643" w:rsidP="00863643">
      <w:pPr>
        <w:jc w:val="both"/>
        <w:rPr>
          <w:sz w:val="24"/>
          <w:szCs w:val="24"/>
          <w:lang w:val="en-GB"/>
        </w:rPr>
      </w:pPr>
      <w:r w:rsidRPr="00183B2D">
        <w:rPr>
          <w:sz w:val="24"/>
          <w:szCs w:val="24"/>
          <w:lang w:val="en-GB"/>
        </w:rPr>
        <w:t>In this contribution</w:t>
      </w:r>
      <w:r w:rsidR="00800700">
        <w:rPr>
          <w:sz w:val="24"/>
          <w:szCs w:val="24"/>
          <w:lang w:val="en-GB"/>
        </w:rPr>
        <w:t>,</w:t>
      </w:r>
      <w:bookmarkStart w:id="8" w:name="_GoBack"/>
      <w:bookmarkEnd w:id="8"/>
      <w:r w:rsidRPr="00183B2D">
        <w:rPr>
          <w:sz w:val="24"/>
          <w:szCs w:val="24"/>
          <w:lang w:val="en-GB"/>
        </w:rPr>
        <w:t xml:space="preserve"> </w:t>
      </w:r>
      <w:r>
        <w:rPr>
          <w:sz w:val="24"/>
          <w:szCs w:val="24"/>
          <w:lang w:val="en-GB"/>
        </w:rPr>
        <w:t xml:space="preserve">we </w:t>
      </w:r>
      <w:r w:rsidR="00DE4B5B">
        <w:rPr>
          <w:sz w:val="24"/>
          <w:szCs w:val="24"/>
          <w:lang w:val="en-GB"/>
        </w:rPr>
        <w:t>presented our views</w:t>
      </w:r>
      <w:r w:rsidR="009164D4">
        <w:rPr>
          <w:sz w:val="24"/>
          <w:szCs w:val="24"/>
          <w:lang w:val="en-GB"/>
        </w:rPr>
        <w:t xml:space="preserve"> on uplink feedback channel </w:t>
      </w:r>
      <w:r w:rsidR="00D46934">
        <w:rPr>
          <w:sz w:val="24"/>
          <w:szCs w:val="24"/>
          <w:lang w:val="en-GB"/>
        </w:rPr>
        <w:t>design with CBG</w:t>
      </w:r>
      <w:r w:rsidR="002D2C1E">
        <w:rPr>
          <w:sz w:val="24"/>
          <w:szCs w:val="24"/>
          <w:lang w:val="en-GB"/>
        </w:rPr>
        <w:t xml:space="preserve">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9164D4" w:rsidRDefault="009164D4" w:rsidP="009164D4">
      <w:pPr>
        <w:contextualSpacing/>
        <w:rPr>
          <w:b/>
          <w:sz w:val="24"/>
          <w:szCs w:val="24"/>
        </w:rPr>
      </w:pPr>
      <w:r w:rsidRPr="0092108C">
        <w:rPr>
          <w:b/>
          <w:noProof/>
          <w:sz w:val="24"/>
          <w:szCs w:val="24"/>
        </w:rPr>
        <w:t>Proposal 1</w:t>
      </w:r>
      <w:r w:rsidRPr="0092108C">
        <w:rPr>
          <w:b/>
          <w:sz w:val="24"/>
          <w:szCs w:val="24"/>
        </w:rPr>
        <w:t>:</w:t>
      </w:r>
      <w:r>
        <w:rPr>
          <w:b/>
          <w:sz w:val="24"/>
          <w:szCs w:val="24"/>
        </w:rPr>
        <w:t xml:space="preserve"> We prefer an adaptive structure for indicating he HARQ-ACK for CBGs, which includes TB level HARQ-ACK in addition to CBG level HRQ-ACK </w:t>
      </w:r>
    </w:p>
    <w:p w:rsidR="002D2C1E" w:rsidRDefault="002D2C1E" w:rsidP="002D2C1E">
      <w:pPr>
        <w:contextualSpacing/>
        <w:rPr>
          <w:b/>
          <w:sz w:val="24"/>
          <w:szCs w:val="24"/>
        </w:rPr>
      </w:pPr>
    </w:p>
    <w:p w:rsidR="009164D4" w:rsidRDefault="009164D4" w:rsidP="009164D4">
      <w:pPr>
        <w:contextualSpacing/>
        <w:rPr>
          <w:b/>
          <w:sz w:val="24"/>
          <w:szCs w:val="24"/>
        </w:rPr>
      </w:pPr>
      <w:r>
        <w:rPr>
          <w:b/>
          <w:noProof/>
          <w:sz w:val="24"/>
          <w:szCs w:val="24"/>
        </w:rPr>
        <w:t>Proposal 2</w:t>
      </w:r>
      <w:r w:rsidRPr="0092108C">
        <w:rPr>
          <w:b/>
          <w:sz w:val="24"/>
          <w:szCs w:val="24"/>
        </w:rPr>
        <w:t>:</w:t>
      </w:r>
      <w:r>
        <w:rPr>
          <w:b/>
          <w:sz w:val="24"/>
          <w:szCs w:val="24"/>
        </w:rPr>
        <w:t xml:space="preserve"> RAN1 should study schemes for reducing the signaling overhead for HARQ-ACK with CBG based transmission </w:t>
      </w:r>
    </w:p>
    <w:p w:rsidR="00EB3387" w:rsidRDefault="00EB3387" w:rsidP="002D2C1E">
      <w:pPr>
        <w:contextualSpacing/>
        <w:rPr>
          <w:b/>
          <w:sz w:val="24"/>
          <w:szCs w:val="24"/>
        </w:rPr>
      </w:pPr>
    </w:p>
    <w:p w:rsidR="00DA208C" w:rsidRDefault="00DA208C" w:rsidP="00DA208C">
      <w:pPr>
        <w:pStyle w:val="Heading1"/>
      </w:pPr>
      <w:r>
        <w:t xml:space="preserve">References </w:t>
      </w:r>
    </w:p>
    <w:p w:rsidR="00DA208C" w:rsidRPr="005C1BF7" w:rsidRDefault="00DA208C" w:rsidP="00DA208C">
      <w:pPr>
        <w:jc w:val="both"/>
        <w:rPr>
          <w:sz w:val="24"/>
          <w:szCs w:val="24"/>
          <w:lang w:val="en-GB"/>
        </w:rPr>
      </w:pPr>
      <w:r>
        <w:rPr>
          <w:sz w:val="24"/>
          <w:szCs w:val="24"/>
          <w:lang w:val="en-GB"/>
        </w:rPr>
        <w:t>[1]. R1-1710442, On CBG constriction for NR PDSCH and PUSCH, AT&amp;T.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7"/>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D35" w:rsidRDefault="005A7D35" w:rsidP="00A03DF3">
      <w:pPr>
        <w:spacing w:after="0"/>
      </w:pPr>
      <w:r>
        <w:separator/>
      </w:r>
    </w:p>
  </w:endnote>
  <w:endnote w:type="continuationSeparator" w:id="0">
    <w:p w:rsidR="005A7D35" w:rsidRDefault="005A7D3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0070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70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D35" w:rsidRDefault="005A7D35" w:rsidP="00A03DF3">
      <w:pPr>
        <w:spacing w:after="0"/>
      </w:pPr>
      <w:r>
        <w:separator/>
      </w:r>
    </w:p>
  </w:footnote>
  <w:footnote w:type="continuationSeparator" w:id="0">
    <w:p w:rsidR="005A7D35" w:rsidRDefault="005A7D3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9"/>
  </w:num>
  <w:num w:numId="8">
    <w:abstractNumId w:val="12"/>
  </w:num>
  <w:num w:numId="9">
    <w:abstractNumId w:val="4"/>
  </w:num>
  <w:num w:numId="10">
    <w:abstractNumId w:val="10"/>
  </w:num>
  <w:num w:numId="11">
    <w:abstractNumId w:val="15"/>
  </w:num>
  <w:num w:numId="12">
    <w:abstractNumId w:val="14"/>
  </w:num>
  <w:num w:numId="13">
    <w:abstractNumId w:val="11"/>
  </w:num>
  <w:num w:numId="14">
    <w:abstractNumId w:val="13"/>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1A25"/>
    <w:rsid w:val="00043767"/>
    <w:rsid w:val="00047A27"/>
    <w:rsid w:val="00060D91"/>
    <w:rsid w:val="00063362"/>
    <w:rsid w:val="00070271"/>
    <w:rsid w:val="000729CF"/>
    <w:rsid w:val="00077861"/>
    <w:rsid w:val="0008103A"/>
    <w:rsid w:val="00082F4F"/>
    <w:rsid w:val="000848FB"/>
    <w:rsid w:val="000A3623"/>
    <w:rsid w:val="000C31DD"/>
    <w:rsid w:val="000C42E1"/>
    <w:rsid w:val="000D44F2"/>
    <w:rsid w:val="000E0E39"/>
    <w:rsid w:val="000E3E8D"/>
    <w:rsid w:val="000E7837"/>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415B9"/>
    <w:rsid w:val="00150F00"/>
    <w:rsid w:val="00151B4B"/>
    <w:rsid w:val="001625C3"/>
    <w:rsid w:val="0016333E"/>
    <w:rsid w:val="001711C0"/>
    <w:rsid w:val="001738F0"/>
    <w:rsid w:val="00183B2D"/>
    <w:rsid w:val="00184167"/>
    <w:rsid w:val="00185817"/>
    <w:rsid w:val="001A19A7"/>
    <w:rsid w:val="001B362A"/>
    <w:rsid w:val="001B62B5"/>
    <w:rsid w:val="001C0C74"/>
    <w:rsid w:val="001C62F5"/>
    <w:rsid w:val="001D4E16"/>
    <w:rsid w:val="001D7377"/>
    <w:rsid w:val="001E0FE1"/>
    <w:rsid w:val="001E1248"/>
    <w:rsid w:val="001E7474"/>
    <w:rsid w:val="001E76F1"/>
    <w:rsid w:val="001F7126"/>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46756"/>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702F2"/>
    <w:rsid w:val="003709E5"/>
    <w:rsid w:val="00372B0E"/>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3A80"/>
    <w:rsid w:val="003D51ED"/>
    <w:rsid w:val="003F3552"/>
    <w:rsid w:val="003F3BD7"/>
    <w:rsid w:val="003F54E8"/>
    <w:rsid w:val="003F644A"/>
    <w:rsid w:val="00400A08"/>
    <w:rsid w:val="00413433"/>
    <w:rsid w:val="0041405C"/>
    <w:rsid w:val="0041500F"/>
    <w:rsid w:val="00416778"/>
    <w:rsid w:val="00416848"/>
    <w:rsid w:val="0041687B"/>
    <w:rsid w:val="00417010"/>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B787A"/>
    <w:rsid w:val="004C521D"/>
    <w:rsid w:val="004D1D4B"/>
    <w:rsid w:val="004D20B4"/>
    <w:rsid w:val="004D338B"/>
    <w:rsid w:val="004E24E6"/>
    <w:rsid w:val="004E3753"/>
    <w:rsid w:val="004E4A4E"/>
    <w:rsid w:val="004E6AD3"/>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A7D35"/>
    <w:rsid w:val="005B2A8C"/>
    <w:rsid w:val="005C0F42"/>
    <w:rsid w:val="005C1BF7"/>
    <w:rsid w:val="005E49C7"/>
    <w:rsid w:val="005E6A67"/>
    <w:rsid w:val="005F0C73"/>
    <w:rsid w:val="005F2BEE"/>
    <w:rsid w:val="005F49BE"/>
    <w:rsid w:val="005F69AE"/>
    <w:rsid w:val="0060173F"/>
    <w:rsid w:val="00602FF2"/>
    <w:rsid w:val="0061290E"/>
    <w:rsid w:val="0062050D"/>
    <w:rsid w:val="00626CD3"/>
    <w:rsid w:val="00633D91"/>
    <w:rsid w:val="00644086"/>
    <w:rsid w:val="0064614A"/>
    <w:rsid w:val="00647AF1"/>
    <w:rsid w:val="00652AD8"/>
    <w:rsid w:val="00653B6D"/>
    <w:rsid w:val="006577D9"/>
    <w:rsid w:val="006625D4"/>
    <w:rsid w:val="00664678"/>
    <w:rsid w:val="006667BE"/>
    <w:rsid w:val="00667EDB"/>
    <w:rsid w:val="00674ED6"/>
    <w:rsid w:val="00680F31"/>
    <w:rsid w:val="006865FE"/>
    <w:rsid w:val="00690312"/>
    <w:rsid w:val="00691783"/>
    <w:rsid w:val="00696E8D"/>
    <w:rsid w:val="006A34AF"/>
    <w:rsid w:val="006A4ACB"/>
    <w:rsid w:val="006A53E5"/>
    <w:rsid w:val="006A5DD2"/>
    <w:rsid w:val="006A6E0A"/>
    <w:rsid w:val="006B101C"/>
    <w:rsid w:val="006B1069"/>
    <w:rsid w:val="006B5540"/>
    <w:rsid w:val="006C32C4"/>
    <w:rsid w:val="006C6647"/>
    <w:rsid w:val="006D3D50"/>
    <w:rsid w:val="006F5982"/>
    <w:rsid w:val="006F7207"/>
    <w:rsid w:val="006F72BF"/>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57E3"/>
    <w:rsid w:val="007764D8"/>
    <w:rsid w:val="0078261D"/>
    <w:rsid w:val="00785ECB"/>
    <w:rsid w:val="00786FCF"/>
    <w:rsid w:val="007877F2"/>
    <w:rsid w:val="00790961"/>
    <w:rsid w:val="007945A4"/>
    <w:rsid w:val="0079557E"/>
    <w:rsid w:val="0079585A"/>
    <w:rsid w:val="007A4702"/>
    <w:rsid w:val="007A6469"/>
    <w:rsid w:val="007A795E"/>
    <w:rsid w:val="007B3085"/>
    <w:rsid w:val="007B3DE9"/>
    <w:rsid w:val="007B574D"/>
    <w:rsid w:val="007B6F7A"/>
    <w:rsid w:val="007C1666"/>
    <w:rsid w:val="007C274D"/>
    <w:rsid w:val="007C3EFD"/>
    <w:rsid w:val="007D6B66"/>
    <w:rsid w:val="007E5506"/>
    <w:rsid w:val="00800700"/>
    <w:rsid w:val="0081279A"/>
    <w:rsid w:val="00816FB9"/>
    <w:rsid w:val="00825D7A"/>
    <w:rsid w:val="00825EC8"/>
    <w:rsid w:val="00827552"/>
    <w:rsid w:val="008305FD"/>
    <w:rsid w:val="00836CA6"/>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7E92"/>
    <w:rsid w:val="008C12F4"/>
    <w:rsid w:val="008C4C93"/>
    <w:rsid w:val="008C7323"/>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64D4"/>
    <w:rsid w:val="00917554"/>
    <w:rsid w:val="00917961"/>
    <w:rsid w:val="0092108C"/>
    <w:rsid w:val="00923046"/>
    <w:rsid w:val="00924AF9"/>
    <w:rsid w:val="00926445"/>
    <w:rsid w:val="00935907"/>
    <w:rsid w:val="009444F6"/>
    <w:rsid w:val="009477DD"/>
    <w:rsid w:val="00961690"/>
    <w:rsid w:val="00964DE7"/>
    <w:rsid w:val="00965D45"/>
    <w:rsid w:val="009714DC"/>
    <w:rsid w:val="00973EEF"/>
    <w:rsid w:val="00990A8D"/>
    <w:rsid w:val="009A0587"/>
    <w:rsid w:val="009A212B"/>
    <w:rsid w:val="009B12B4"/>
    <w:rsid w:val="009B34F4"/>
    <w:rsid w:val="009B679A"/>
    <w:rsid w:val="009B67DE"/>
    <w:rsid w:val="009C0E95"/>
    <w:rsid w:val="009F4239"/>
    <w:rsid w:val="00A03DC7"/>
    <w:rsid w:val="00A03DF3"/>
    <w:rsid w:val="00A05050"/>
    <w:rsid w:val="00A1005B"/>
    <w:rsid w:val="00A13339"/>
    <w:rsid w:val="00A26DCA"/>
    <w:rsid w:val="00A36F7A"/>
    <w:rsid w:val="00A4103E"/>
    <w:rsid w:val="00A42970"/>
    <w:rsid w:val="00A43533"/>
    <w:rsid w:val="00A45013"/>
    <w:rsid w:val="00A45CAD"/>
    <w:rsid w:val="00A462B3"/>
    <w:rsid w:val="00A50E1C"/>
    <w:rsid w:val="00A56D69"/>
    <w:rsid w:val="00A62A36"/>
    <w:rsid w:val="00A70385"/>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4F62"/>
    <w:rsid w:val="00B7005D"/>
    <w:rsid w:val="00B70D99"/>
    <w:rsid w:val="00B729FA"/>
    <w:rsid w:val="00B74C3C"/>
    <w:rsid w:val="00B82AA0"/>
    <w:rsid w:val="00B82F38"/>
    <w:rsid w:val="00B865C9"/>
    <w:rsid w:val="00B86C48"/>
    <w:rsid w:val="00B91E13"/>
    <w:rsid w:val="00B929CF"/>
    <w:rsid w:val="00B9611D"/>
    <w:rsid w:val="00BB273F"/>
    <w:rsid w:val="00BB49A5"/>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597D"/>
    <w:rsid w:val="00CA0134"/>
    <w:rsid w:val="00CA243F"/>
    <w:rsid w:val="00CA45CC"/>
    <w:rsid w:val="00CA5FB4"/>
    <w:rsid w:val="00CB3C38"/>
    <w:rsid w:val="00CB5E6A"/>
    <w:rsid w:val="00CB6648"/>
    <w:rsid w:val="00CB7ACA"/>
    <w:rsid w:val="00CC03FD"/>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46934"/>
    <w:rsid w:val="00D50F28"/>
    <w:rsid w:val="00D51ABF"/>
    <w:rsid w:val="00D53A33"/>
    <w:rsid w:val="00D57EF5"/>
    <w:rsid w:val="00D81AE8"/>
    <w:rsid w:val="00D913DA"/>
    <w:rsid w:val="00DA14A6"/>
    <w:rsid w:val="00DA208C"/>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2BCB"/>
    <w:rsid w:val="00E3160A"/>
    <w:rsid w:val="00E3250E"/>
    <w:rsid w:val="00E421AA"/>
    <w:rsid w:val="00E435B7"/>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2CE0"/>
    <w:rsid w:val="00E7453F"/>
    <w:rsid w:val="00E80B50"/>
    <w:rsid w:val="00E821CD"/>
    <w:rsid w:val="00E82275"/>
    <w:rsid w:val="00E8259C"/>
    <w:rsid w:val="00E82924"/>
    <w:rsid w:val="00E84501"/>
    <w:rsid w:val="00E91703"/>
    <w:rsid w:val="00E96EC3"/>
    <w:rsid w:val="00EA64BD"/>
    <w:rsid w:val="00EA791C"/>
    <w:rsid w:val="00EB2825"/>
    <w:rsid w:val="00EB29A4"/>
    <w:rsid w:val="00EB3387"/>
    <w:rsid w:val="00EB513C"/>
    <w:rsid w:val="00EB5891"/>
    <w:rsid w:val="00EB6F52"/>
    <w:rsid w:val="00EC0493"/>
    <w:rsid w:val="00EC05AE"/>
    <w:rsid w:val="00EE0BDA"/>
    <w:rsid w:val="00EE3C5F"/>
    <w:rsid w:val="00EE40A9"/>
    <w:rsid w:val="00EE57C5"/>
    <w:rsid w:val="00EF79DC"/>
    <w:rsid w:val="00EF7E19"/>
    <w:rsid w:val="00F03AAA"/>
    <w:rsid w:val="00F040B2"/>
    <w:rsid w:val="00F04CDB"/>
    <w:rsid w:val="00F13661"/>
    <w:rsid w:val="00F143FB"/>
    <w:rsid w:val="00F14F36"/>
    <w:rsid w:val="00F22E4F"/>
    <w:rsid w:val="00F27B0F"/>
    <w:rsid w:val="00F33557"/>
    <w:rsid w:val="00F35AC7"/>
    <w:rsid w:val="00F3760A"/>
    <w:rsid w:val="00F40497"/>
    <w:rsid w:val="00F53929"/>
    <w:rsid w:val="00F55138"/>
    <w:rsid w:val="00F639AE"/>
    <w:rsid w:val="00F670FA"/>
    <w:rsid w:val="00F67A74"/>
    <w:rsid w:val="00F74309"/>
    <w:rsid w:val="00F76EF1"/>
    <w:rsid w:val="00F77E99"/>
    <w:rsid w:val="00F809C6"/>
    <w:rsid w:val="00F8520B"/>
    <w:rsid w:val="00F87E38"/>
    <w:rsid w:val="00F925DE"/>
    <w:rsid w:val="00F93D60"/>
    <w:rsid w:val="00FA1E70"/>
    <w:rsid w:val="00FA546C"/>
    <w:rsid w:val="00FA6652"/>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9F67B-A1DB-4297-9FF1-B51A1D10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6</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141</cp:revision>
  <dcterms:created xsi:type="dcterms:W3CDTF">2017-03-24T11:25:00Z</dcterms:created>
  <dcterms:modified xsi:type="dcterms:W3CDTF">2017-08-11T05:03:00Z</dcterms:modified>
</cp:coreProperties>
</file>